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&lt;&lt;Letterhead&gt;</w:t>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&lt;&lt;recipient&gt;&gt;</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Re: &lt;&lt;patient name, DOB&gt;&gt;</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To Whom It May Concern:</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&lt;&lt;Patient name&gt;&gt;, is currently under my care and has the following diagnosis: &lt;&lt;diagnostic codes and descriptors&gt;&gt;.</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173"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Patient has a history of wandering from safe environments and has exhibited goal-directed elopements, loss of understanding his/her present location or fleeing in response to agitation or confusion.  &lt;&lt; discussion of diagnosis&gt;&gt;.</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173"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173"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173"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&lt;&lt;Optional paragraph&gt;&gt; For these reasons, Patient has an additional diagnosis of Wandering In Diseases Classified Elsewhere (ICD-10-CM, Z91.83).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173"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In order to ensure Patient’s safety, it is my opinion that it is medically necessary to institute proper safeguards.  Such safeguards should include 1. living space enhancements, such as alarms, locks and reminders, and 2. patient-location monitoring technologies that can provide location information to the caregiver, safe-zone creating and monitoring and real-time communications between the Patient and a caregiver.</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173"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Sincerely,</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173"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sectPr>
      <w:pgSz w:h="15840" w:w="12240"/>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